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9"/>
        <w:ind w:left="40" w:firstLine="0"/>
        <w:spacing w:before="0" w:after="700" w:line="240" w:lineRule="auto"/>
        <w:shd w:val="clear" w:color="auto" w:fill="auto"/>
        <w:rPr>
          <w:b/>
        </w:rPr>
      </w:pPr>
      <w:r>
        <w:rPr>
          <w:b/>
        </w:rPr>
        <w:t xml:space="preserve">ФОРМА ОБОСНОВАНИЯ НМЦ</w:t>
      </w:r>
      <w:r>
        <w:rPr>
          <w:b/>
        </w:rPr>
      </w:r>
    </w:p>
    <w:p>
      <w:pPr>
        <w:pStyle w:val="621"/>
        <w:ind w:left="40" w:firstLine="0"/>
        <w:jc w:val="center"/>
        <w:spacing w:before="0" w:after="642" w:line="240" w:lineRule="auto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  <w:br/>
        <w:t xml:space="preserve">ЦЕНЫ ЕДИНИЦЫ ТОВ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690"/>
        <w:shd w:val="clear" w:color="auto" w:fill="auto"/>
      </w:pPr>
      <w:r>
        <w:t xml:space="preserve">1. Общая информация</w:t>
      </w:r>
      <w:r/>
    </w:p>
    <w:tbl>
      <w:tblPr>
        <w:tblW w:w="9776" w:type="dxa"/>
        <w:tblInd w:w="113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2"/>
        <w:gridCol w:w="2239"/>
        <w:gridCol w:w="6975"/>
      </w:tblGrid>
      <w:tr>
        <w:tblPrEx/>
        <w:trPr/>
        <w:tc>
          <w:tcPr>
            <w:tcW w:w="562" w:type="dxa"/>
            <w:vAlign w:val="center"/>
            <w:textDirection w:val="lrTb"/>
            <w:noWrap w:val="false"/>
          </w:tcPr>
          <w:p>
            <w:pPr>
              <w:pStyle w:val="621"/>
              <w:jc w:val="center"/>
              <w:spacing w:before="0"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621"/>
              <w:jc w:val="center"/>
              <w:spacing w:before="0"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 w:eastAsia="Courier New" w:cs="Times New Roman"/>
                <w:color w:val="000000"/>
                <w:sz w:val="22"/>
                <w:szCs w:val="22"/>
                <w:lang w:val="ru-RU" w:eastAsia="ru-RU" w:bidi="ru-RU"/>
              </w:rPr>
              <w:t xml:space="preserve">п/п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/>
            <w:tcW w:w="2239" w:type="dxa"/>
            <w:vAlign w:val="center"/>
            <w:textDirection w:val="lrTb"/>
            <w:noWrap w:val="false"/>
          </w:tcPr>
          <w:p>
            <w:pPr>
              <w:pStyle w:val="691"/>
              <w:ind w:firstLine="0"/>
              <w:jc w:val="center"/>
              <w:spacing w:before="0" w:after="0" w:line="244" w:lineRule="exact"/>
              <w:shd w:val="clear" w:color="auto" w:fill="auto"/>
              <w:widowControl w:val="off"/>
              <w:rPr>
                <w:sz w:val="22"/>
                <w:szCs w:val="22"/>
              </w:rPr>
            </w:pPr>
            <w:r>
              <w:rPr>
                <w:rStyle w:val="658"/>
                <w:sz w:val="22"/>
                <w:szCs w:val="22"/>
                <w:lang w:val="ru-RU" w:eastAsia="en-US" w:bidi="ar-SA"/>
              </w:rPr>
              <w:t xml:space="preserve">Наименование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/>
            <w:tcW w:w="6975" w:type="dxa"/>
            <w:vAlign w:val="center"/>
            <w:textDirection w:val="lrTb"/>
            <w:noWrap w:val="false"/>
          </w:tcPr>
          <w:p>
            <w:pPr>
              <w:pStyle w:val="691"/>
              <w:ind w:firstLine="0"/>
              <w:jc w:val="center"/>
              <w:spacing w:before="0" w:after="0" w:line="244" w:lineRule="exact"/>
              <w:shd w:val="clear" w:color="auto" w:fill="auto"/>
              <w:widowControl w:val="off"/>
              <w:rPr>
                <w:sz w:val="22"/>
                <w:szCs w:val="22"/>
              </w:rPr>
            </w:pPr>
            <w:r>
              <w:rPr>
                <w:rStyle w:val="658"/>
                <w:sz w:val="22"/>
                <w:szCs w:val="22"/>
                <w:lang w:val="ru-RU" w:eastAsia="en-US" w:bidi="ar-SA"/>
              </w:rPr>
              <w:t xml:space="preserve">Информация по лоту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630"/>
        </w:trPr>
        <w:tc>
          <w:tcPr>
            <w:tcW w:w="562" w:type="dxa"/>
            <w:textDirection w:val="lrTb"/>
            <w:noWrap w:val="false"/>
          </w:tcPr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 w:bidi="ar-SA"/>
              </w:rPr>
              <w:t xml:space="preserve">1.1.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 w:bidi="ar-SA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975" w:type="dxa"/>
            <w:textDirection w:val="lrTb"/>
            <w:noWrap w:val="false"/>
          </w:tcPr>
          <w:p>
            <w:pPr>
              <w:pStyle w:val="621"/>
              <w:jc w:val="both"/>
              <w:spacing w:before="0" w:after="0" w:line="240" w:lineRule="auto"/>
              <w:widowControl w:val="off"/>
              <w:rPr>
                <w:rFonts w:eastAsia="Calibri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2"/>
                <w:szCs w:val="22"/>
                <w:lang w:val="ru-RU" w:eastAsia="en-US" w:bidi="ar-SA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val="ru-RU" w:eastAsia="en-US" w:bidi="ar-SA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val="ru-RU" w:eastAsia="en-US" w:bidi="ar-SA"/>
              </w:rPr>
              <w:t xml:space="preserve">ПД2 72.12. Оказание услуг по проведению комплексного технического обследования здания Административного корпуса СУ ТЭЦ г. Благовещенск для Амурских тепловых</w:t>
              <w:br/>
              <w:t xml:space="preserve">сетей</w:t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trHeight w:val="537"/>
        </w:trPr>
        <w:tc>
          <w:tcPr>
            <w:tcW w:w="562" w:type="dxa"/>
            <w:textDirection w:val="lrTb"/>
            <w:noWrap w:val="false"/>
          </w:tcPr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 w:bidi="ar-SA"/>
              </w:rPr>
              <w:t xml:space="preserve">1.2.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239" w:type="dxa"/>
            <w:textDirection w:val="lrTb"/>
            <w:noWrap w:val="false"/>
          </w:tcPr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lang w:val="ru-RU" w:eastAsia="en-US" w:bidi="ar-SA"/>
              </w:rPr>
              <w:t xml:space="preserve">Номер лота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975" w:type="dxa"/>
            <w:vAlign w:val="center"/>
            <w:textDirection w:val="lrTb"/>
            <w:noWrap w:val="false"/>
          </w:tcPr>
          <w:p>
            <w:pPr>
              <w:pStyle w:val="621"/>
              <w:jc w:val="left"/>
              <w:spacing w:before="0" w:after="0" w:line="240" w:lineRule="auto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 w:eastAsia="Calibri" w:cs="Times New Roman"/>
                <w:b w:val="0"/>
                <w:i w:val="0"/>
                <w:strike w:val="0"/>
                <w:sz w:val="22"/>
                <w:szCs w:val="22"/>
                <w:highlight w:val="white"/>
                <w:u w:val="none"/>
              </w:rPr>
              <w:t xml:space="preserve">41034033-ЭКСП ПРОД-2026-ДГК-АТС</w:t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569"/>
        </w:trPr>
        <w:tc>
          <w:tcPr>
            <w:shd w:val="clear" w:color="auto" w:fill="ffffff"/>
            <w:tcW w:w="562" w:type="dxa"/>
            <w:vAlign w:val="center"/>
            <w:textDirection w:val="lrTb"/>
            <w:noWrap w:val="false"/>
          </w:tcPr>
          <w:p>
            <w:pPr>
              <w:pStyle w:val="691"/>
              <w:ind w:firstLine="0"/>
              <w:jc w:val="left"/>
              <w:spacing w:before="0" w:after="0" w:line="244" w:lineRule="exact"/>
              <w:shd w:val="clear" w:color="auto" w:fill="auto"/>
              <w:widowControl w:val="off"/>
              <w:rPr>
                <w:sz w:val="22"/>
                <w:szCs w:val="22"/>
              </w:rPr>
            </w:pPr>
            <w:r>
              <w:rPr>
                <w:rStyle w:val="658"/>
                <w:sz w:val="22"/>
                <w:szCs w:val="22"/>
                <w:lang w:val="ru-RU" w:eastAsia="en-US" w:bidi="ar-SA"/>
              </w:rPr>
              <w:t xml:space="preserve">1.3.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/>
            <w:tcW w:w="2239" w:type="dxa"/>
            <w:vAlign w:val="center"/>
            <w:textDirection w:val="lrTb"/>
            <w:noWrap w:val="false"/>
          </w:tcPr>
          <w:p>
            <w:pPr>
              <w:pStyle w:val="691"/>
              <w:ind w:firstLine="0"/>
              <w:jc w:val="left"/>
              <w:spacing w:before="0" w:after="0" w:line="244" w:lineRule="exact"/>
              <w:shd w:val="clear" w:color="auto" w:fill="auto"/>
              <w:widowControl w:val="off"/>
              <w:rPr>
                <w:sz w:val="22"/>
                <w:szCs w:val="22"/>
              </w:rPr>
            </w:pPr>
            <w:r>
              <w:rPr>
                <w:rStyle w:val="658"/>
                <w:sz w:val="22"/>
                <w:szCs w:val="22"/>
                <w:lang w:val="ru-RU" w:eastAsia="en-US" w:bidi="ar-SA"/>
              </w:rPr>
              <w:t xml:space="preserve">НМЦ лота</w:t>
            </w:r>
            <w:r>
              <w:rPr>
                <w:sz w:val="22"/>
                <w:szCs w:val="22"/>
              </w:rPr>
            </w:r>
          </w:p>
        </w:tc>
        <w:tc>
          <w:tcPr>
            <w:tcW w:w="6975" w:type="dxa"/>
            <w:vAlign w:val="center"/>
            <w:textDirection w:val="lrTb"/>
            <w:noWrap w:val="false"/>
          </w:tcPr>
          <w:p>
            <w:pPr>
              <w:pStyle w:val="621"/>
              <w:jc w:val="left"/>
              <w:spacing w:before="0" w:after="0" w:line="240" w:lineRule="auto"/>
              <w:widowControl w:val="off"/>
              <w:rPr>
                <w:rFonts w:ascii="Times New Roman" w:hAnsi="Times New Roman" w:cs="Times New Roman"/>
                <w:color w:val="ff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739 377,05</w:t>
            </w:r>
            <w:r>
              <w:rPr>
                <w:rFonts w:ascii="Times New Roman" w:hAnsi="Times New Roman" w:eastAsia="Calibri" w:cs="Times New Roman"/>
                <w:sz w:val="22"/>
                <w:szCs w:val="22"/>
                <w:highlight w:val="white"/>
                <w:lang w:val="ru-RU" w:eastAsia="en-US" w:bidi="ar-SA"/>
              </w:rPr>
              <w:t xml:space="preserve"> рублей без учета НДС</w:t>
            </w:r>
            <w:r>
              <w:rPr>
                <w:rFonts w:ascii="Times New Roman" w:hAnsi="Times New Roman" w:cs="Times New Roman"/>
                <w:color w:val="ff0000"/>
                <w:sz w:val="22"/>
                <w:szCs w:val="22"/>
                <w:highlight w:val="white"/>
              </w:rPr>
            </w:r>
          </w:p>
        </w:tc>
      </w:tr>
    </w:tbl>
    <w:p>
      <w:pPr>
        <w:pStyle w:val="621"/>
      </w:pPr>
      <w:r/>
      <w:r/>
    </w:p>
    <w:p>
      <w:pPr>
        <w:pStyle w:val="62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621"/>
        <w:ind w:left="440" w:firstLine="0"/>
        <w:spacing w:before="0" w:after="60" w:line="244" w:lineRule="exact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Метод анализа</w:t>
      </w:r>
      <w:r>
        <w:rPr>
          <w:rFonts w:ascii="Times New Roman" w:hAnsi="Times New Roman" w:eastAsia="Times New Roman" w:cs="Times New Roman"/>
          <w:lang w:eastAsia="ru-RU" w:bidi="ru-RU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технико-коммерческие предложения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21"/>
        <w:ind w:left="440" w:firstLine="0"/>
        <w:spacing w:before="0" w:after="293" w:line="244" w:lineRule="exact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 w:bidi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 w:bidi="ru-RU"/>
        </w:rPr>
        <w:t xml:space="preserve">Обоснование расчета НМЦ: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 w:bidi="ru-RU"/>
        </w:rPr>
      </w:r>
    </w:p>
    <w:tbl>
      <w:tblPr>
        <w:tblStyle w:val="48"/>
        <w:tblW w:w="0" w:type="auto"/>
        <w:tblLayout w:type="fixed"/>
        <w:tblLook w:val="04A0" w:firstRow="1" w:lastRow="0" w:firstColumn="1" w:lastColumn="0" w:noHBand="0" w:noVBand="1"/>
      </w:tblPr>
      <w:tblGrid>
        <w:gridCol w:w="2914"/>
        <w:gridCol w:w="1843"/>
        <w:gridCol w:w="1701"/>
        <w:gridCol w:w="1701"/>
        <w:gridCol w:w="1808"/>
      </w:tblGrid>
      <w:tr>
        <w:tblPrEx/>
        <w:trPr/>
        <w:tc>
          <w:tcPr>
            <w:tcW w:w="291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 товара / работы / услуги в составе лота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asciiTheme="minorHAnsi" w:hAnsiTheme="minorHAnsi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asciiTheme="minorHAnsi" w:hAnsiTheme="minorHAnsi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Цена из соответствующего ИЦИ, руб. без НДС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asciiTheme="minorHAnsi" w:hAnsiTheme="minorHAnsi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Цена итоговая, руб. без НДС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 w:asciiTheme="minorHAnsi" w:hAnsiTheme="minorHAnsi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W w:w="18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Комментарии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691"/>
        </w:trPr>
        <w:tc>
          <w:tcPr>
            <w:tcW w:w="2914" w:type="dxa"/>
            <w:vMerge w:val="restart"/>
            <w:textDirection w:val="lrTb"/>
            <w:noWrap w:val="false"/>
          </w:tcPr>
          <w:p>
            <w:pPr>
              <w:ind w:right="3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2"/>
                <w:szCs w:val="22"/>
                <w:highlight w:val="white"/>
                <w:lang w:val="ru-RU" w:eastAsia="en-US" w:bidi="ar-SA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2"/>
                <w:szCs w:val="22"/>
                <w:highlight w:val="white"/>
                <w:lang w:val="ru-RU" w:eastAsia="en-US" w:bidi="ar-SA"/>
              </w:rPr>
              <w:t xml:space="preserve">КПД2 72.12. Оказание услуг по проведение комплексного технического обследования здания Административного корпуса СУ ТЭЦ г. Благовещенск</w:t>
            </w:r>
            <w:r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ТКП-1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</w:pPr>
            <w:r/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eastAsia="en-US" w:bidi="ar-SA"/>
              </w:rPr>
              <w:t xml:space="preserve">716 000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eastAsia="en-US" w:bidi="ar-SA"/>
              </w:rPr>
              <w:t xml:space="preserve">,00</w:t>
            </w:r>
            <w:r/>
            <w:r>
              <w:rPr>
                <w:highlight w:val="none"/>
                <w:shd w:val="clear" w:color="auto" w:fill="ffffff"/>
              </w:rPr>
            </w:r>
            <w:r>
              <w:rPr>
                <w:highlight w:val="none"/>
                <w:shd w:val="clear" w:color="auto" w:fill="ffffff"/>
              </w:rPr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</w:pPr>
            <w:r/>
            <w:r>
              <w:rPr>
                <w:rFonts w:ascii="Times New Roman" w:hAnsi="Times New Roman" w:eastAsia="Times New Roman" w:cs="Times New Roman"/>
                <w:bCs/>
                <w:i/>
                <w:sz w:val="22"/>
                <w:szCs w:val="22"/>
                <w:shd w:val="clear" w:color="auto" w:fill="ffffff"/>
                <w:lang w:val="ru-RU" w:eastAsia="en-US" w:bidi="ar-SA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2"/>
                <w:szCs w:val="22"/>
                <w:shd w:val="clear" w:color="auto" w:fill="ffffff"/>
                <w:lang w:val="ru-RU" w:eastAsia="ru-RU" w:bidi="ar-SA"/>
              </w:rPr>
              <w:t xml:space="preserve">реднерыночная цена, руб. без НДС</w:t>
            </w:r>
            <w:r>
              <w:rPr>
                <w:rFonts w:ascii="Times New Roman" w:hAnsi="Times New Roman" w:eastAsia="Times New Roman" w:cs="Times New Roman"/>
                <w:bCs/>
                <w:i/>
                <w:sz w:val="20"/>
                <w:szCs w:val="20"/>
                <w:highlight w:val="none"/>
                <w:shd w:val="clear" w:color="auto" w:fill="ffffff"/>
                <w:lang w:val="ru-RU" w:eastAsia="en-US" w:bidi="ar-SA"/>
              </w:rPr>
            </w:r>
            <w:r/>
          </w:p>
        </w:tc>
        <w:tc>
          <w:tcPr>
            <w:tcW w:w="18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694"/>
        </w:trPr>
        <w:tc>
          <w:tcPr>
            <w:tcW w:w="291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ТКП-2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asciiTheme="minorHAnsi" w:hAnsiTheme="minorHAnsi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shd w:val="clear" w:color="auto" w:fill="ffffff"/>
                <w:lang w:val="ru-RU" w:eastAsia="en-US" w:bidi="ar-SA"/>
              </w:rPr>
              <w:t xml:space="preserve">672 131,15</w:t>
            </w:r>
            <w:r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blPrEx/>
        <w:trPr>
          <w:trHeight w:val="562"/>
        </w:trPr>
        <w:tc>
          <w:tcPr>
            <w:tcW w:w="2914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ТКП-3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 w:asciiTheme="minorHAnsi" w:hAnsiTheme="minorHAnsi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shd w:val="clear" w:color="auto" w:fill="ffffff"/>
                <w:lang w:val="ru-RU" w:eastAsia="en-US" w:bidi="ar-SA"/>
              </w:rPr>
              <w:t xml:space="preserve">830 000,00</w:t>
            </w:r>
            <w:r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</w:p>
        </w:tc>
        <w:tc>
          <w:tcPr>
            <w:tcW w:w="1808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</w:tbl>
    <w:p>
      <w:pPr>
        <w:ind w:left="440" w:firstLine="0"/>
        <w:spacing w:before="0" w:after="293" w:line="244" w:lineRule="exact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 w:bidi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 w:bidi="ru-RU"/>
        </w:rPr>
      </w:r>
    </w:p>
    <w:p>
      <w:pPr>
        <w:pStyle w:val="62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621"/>
        <w:jc w:val="center"/>
        <w:spacing w:before="0" w:after="160"/>
        <w:rPr>
          <w:rFonts w:ascii="Times New Roman" w:hAnsi="Times New Roman" w:cs="Times New Roman"/>
          <w:sz w:val="26"/>
          <w:szCs w:val="26"/>
        </w:rPr>
      </w:pPr>
      <w:r/>
      <w:r>
        <w:rPr>
          <w:rFonts w:ascii="Times New Roman" w:hAnsi="Times New Roman" w:cs="Times New Roman"/>
          <w:sz w:val="26"/>
          <w:szCs w:val="26"/>
        </w:rPr>
      </w:r>
    </w:p>
    <w:sectPr>
      <w:footnotePr/>
      <w:endnotePr/>
      <w:type w:val="nextPage"/>
      <w:pgSz w:w="11906" w:h="16838" w:orient="portrait"/>
      <w:pgMar w:top="851" w:right="851" w:bottom="568" w:left="1304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Noto Sans CJK SC">
    <w:panose1 w:val="020B0502040504020204"/>
  </w:font>
  <w:font w:name="Wingdings">
    <w:panose1 w:val="05010000000000000000"/>
  </w:font>
  <w:font w:name="Liberation Sans">
    <w:panose1 w:val="020B0604020202020204"/>
  </w:font>
  <w:font w:name="Segoe UI">
    <w:panose1 w:val="020B0503020204020204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621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22">
    <w:name w:val="Heading 1"/>
    <w:basedOn w:val="62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23">
    <w:name w:val="Heading 2"/>
    <w:basedOn w:val="62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4">
    <w:name w:val="Heading 3"/>
    <w:basedOn w:val="62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5">
    <w:name w:val="Heading 4"/>
    <w:basedOn w:val="62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26">
    <w:name w:val="Heading 5"/>
    <w:basedOn w:val="6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27">
    <w:name w:val="Heading 6"/>
    <w:basedOn w:val="62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28">
    <w:name w:val="Heading 7"/>
    <w:basedOn w:val="62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29">
    <w:name w:val="Heading 8"/>
    <w:basedOn w:val="62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30">
    <w:name w:val="Heading 9"/>
    <w:basedOn w:val="62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31">
    <w:name w:val="Heading 1 Char"/>
    <w:basedOn w:val="654"/>
    <w:uiPriority w:val="9"/>
    <w:qFormat/>
    <w:rPr>
      <w:rFonts w:ascii="Arial" w:hAnsi="Arial" w:eastAsia="Arial" w:cs="Arial"/>
      <w:sz w:val="40"/>
      <w:szCs w:val="40"/>
    </w:rPr>
  </w:style>
  <w:style w:type="character" w:styleId="632">
    <w:name w:val="Heading 2 Char"/>
    <w:basedOn w:val="654"/>
    <w:uiPriority w:val="9"/>
    <w:qFormat/>
    <w:rPr>
      <w:rFonts w:ascii="Arial" w:hAnsi="Arial" w:eastAsia="Arial" w:cs="Arial"/>
      <w:sz w:val="34"/>
    </w:rPr>
  </w:style>
  <w:style w:type="character" w:styleId="633">
    <w:name w:val="Heading 3 Char"/>
    <w:basedOn w:val="654"/>
    <w:uiPriority w:val="9"/>
    <w:qFormat/>
    <w:rPr>
      <w:rFonts w:ascii="Arial" w:hAnsi="Arial" w:eastAsia="Arial" w:cs="Arial"/>
      <w:sz w:val="30"/>
      <w:szCs w:val="30"/>
    </w:rPr>
  </w:style>
  <w:style w:type="character" w:styleId="634">
    <w:name w:val="Heading 4 Char"/>
    <w:basedOn w:val="654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5">
    <w:name w:val="Heading 5 Char"/>
    <w:basedOn w:val="654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6">
    <w:name w:val="Heading 6 Char"/>
    <w:basedOn w:val="654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37">
    <w:name w:val="Heading 7 Char"/>
    <w:basedOn w:val="654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38">
    <w:name w:val="Heading 8 Char"/>
    <w:basedOn w:val="654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39">
    <w:name w:val="Heading 9 Char"/>
    <w:basedOn w:val="654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40">
    <w:name w:val="Title Char"/>
    <w:basedOn w:val="654"/>
    <w:uiPriority w:val="10"/>
    <w:qFormat/>
    <w:rPr>
      <w:sz w:val="48"/>
      <w:szCs w:val="48"/>
    </w:rPr>
  </w:style>
  <w:style w:type="character" w:styleId="641">
    <w:name w:val="Subtitle Char"/>
    <w:basedOn w:val="654"/>
    <w:uiPriority w:val="11"/>
    <w:qFormat/>
    <w:rPr>
      <w:sz w:val="24"/>
      <w:szCs w:val="24"/>
    </w:rPr>
  </w:style>
  <w:style w:type="character" w:styleId="642">
    <w:name w:val="Quote Char"/>
    <w:uiPriority w:val="29"/>
    <w:qFormat/>
    <w:rPr>
      <w:i/>
    </w:rPr>
  </w:style>
  <w:style w:type="character" w:styleId="643">
    <w:name w:val="Intense Quote Char"/>
    <w:uiPriority w:val="30"/>
    <w:qFormat/>
    <w:rPr>
      <w:i/>
    </w:rPr>
  </w:style>
  <w:style w:type="character" w:styleId="644">
    <w:name w:val="Header Char"/>
    <w:basedOn w:val="654"/>
    <w:uiPriority w:val="99"/>
    <w:qFormat/>
  </w:style>
  <w:style w:type="character" w:styleId="645">
    <w:name w:val="Footer Char"/>
    <w:basedOn w:val="654"/>
    <w:uiPriority w:val="99"/>
    <w:qFormat/>
  </w:style>
  <w:style w:type="character" w:styleId="646">
    <w:name w:val="Caption Char"/>
    <w:uiPriority w:val="99"/>
    <w:qFormat/>
  </w:style>
  <w:style w:type="character" w:styleId="647">
    <w:name w:val="Hyperlink"/>
    <w:uiPriority w:val="99"/>
    <w:unhideWhenUsed/>
    <w:rPr>
      <w:color w:val="0000ff" w:themeColor="hyperlink"/>
      <w:u w:val="single"/>
    </w:rPr>
  </w:style>
  <w:style w:type="character" w:styleId="648">
    <w:name w:val="Footnote Text Char"/>
    <w:uiPriority w:val="99"/>
    <w:qFormat/>
    <w:rPr>
      <w:sz w:val="18"/>
    </w:rPr>
  </w:style>
  <w:style w:type="character" w:styleId="649">
    <w:name w:val="Символ сноски"/>
    <w:uiPriority w:val="99"/>
    <w:unhideWhenUsed/>
    <w:qFormat/>
    <w:rPr>
      <w:vertAlign w:val="superscript"/>
    </w:rPr>
  </w:style>
  <w:style w:type="character" w:styleId="650">
    <w:name w:val="footnote reference"/>
    <w:rPr>
      <w:vertAlign w:val="superscript"/>
    </w:rPr>
  </w:style>
  <w:style w:type="character" w:styleId="651">
    <w:name w:val="Endnote Text Char"/>
    <w:uiPriority w:val="99"/>
    <w:qFormat/>
    <w:rPr>
      <w:sz w:val="20"/>
    </w:rPr>
  </w:style>
  <w:style w:type="character" w:styleId="652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53">
    <w:name w:val="endnote reference"/>
    <w:rPr>
      <w:vertAlign w:val="superscript"/>
    </w:rPr>
  </w:style>
  <w:style w:type="character" w:styleId="654" w:default="1">
    <w:name w:val="Default Paragraph Font"/>
    <w:uiPriority w:val="1"/>
    <w:semiHidden/>
    <w:unhideWhenUsed/>
    <w:qFormat/>
  </w:style>
  <w:style w:type="character" w:styleId="655" w:customStyle="1">
    <w:name w:val="Основной текст (14)_"/>
    <w:basedOn w:val="654"/>
    <w:qFormat/>
    <w:rPr>
      <w:rFonts w:ascii="Times New Roman" w:hAnsi="Times New Roman" w:eastAsia="Times New Roman" w:cs="Times New Roman"/>
      <w:shd w:val="clear" w:color="auto" w:fill="ffffff"/>
    </w:rPr>
  </w:style>
  <w:style w:type="character" w:styleId="656" w:customStyle="1">
    <w:name w:val="Подпись к таблице (2)_"/>
    <w:basedOn w:val="654"/>
    <w:qFormat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character" w:styleId="657" w:customStyle="1">
    <w:name w:val="Основной текст (2)_"/>
    <w:basedOn w:val="654"/>
    <w:qFormat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658" w:customStyle="1">
    <w:name w:val="Основной текст (2) + 11 pt"/>
    <w:basedOn w:val="657"/>
    <w:qFormat/>
    <w:rPr>
      <w:rFonts w:ascii="Times New Roman" w:hAnsi="Times New Roman" w:eastAsia="Times New Roman" w:cs="Times New Roman"/>
      <w:color w:val="000000"/>
      <w:spacing w:val="0"/>
      <w:sz w:val="22"/>
      <w:szCs w:val="22"/>
      <w:shd w:val="clear" w:color="auto" w:fill="ffffff"/>
      <w:lang w:val="ru-RU" w:eastAsia="ru-RU" w:bidi="ru-RU"/>
    </w:rPr>
  </w:style>
  <w:style w:type="character" w:styleId="659" w:customStyle="1">
    <w:name w:val="Текст выноски Знак"/>
    <w:basedOn w:val="654"/>
    <w:uiPriority w:val="99"/>
    <w:semiHidden/>
    <w:qFormat/>
    <w:rPr>
      <w:rFonts w:ascii="Segoe UI" w:hAnsi="Segoe UI" w:cs="Segoe UI"/>
      <w:sz w:val="18"/>
      <w:szCs w:val="18"/>
    </w:rPr>
  </w:style>
  <w:style w:type="character" w:styleId="660">
    <w:name w:val="Endnote Characters"/>
    <w:qFormat/>
    <w:rPr>
      <w:vertAlign w:val="superscript"/>
    </w:rPr>
  </w:style>
  <w:style w:type="character" w:styleId="661">
    <w:name w:val="Footnote Characters"/>
    <w:qFormat/>
    <w:rPr>
      <w:vertAlign w:val="superscript"/>
    </w:rPr>
  </w:style>
  <w:style w:type="paragraph" w:styleId="662">
    <w:name w:val="Заголовок"/>
    <w:basedOn w:val="621"/>
    <w:next w:val="663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663">
    <w:name w:val="Body Text"/>
    <w:basedOn w:val="621"/>
    <w:pPr>
      <w:spacing w:before="0" w:after="140" w:line="276" w:lineRule="auto"/>
    </w:pPr>
  </w:style>
  <w:style w:type="paragraph" w:styleId="664">
    <w:name w:val="List"/>
    <w:basedOn w:val="663"/>
    <w:rPr>
      <w:rFonts w:cs="Arial Unicode MS"/>
    </w:rPr>
  </w:style>
  <w:style w:type="paragraph" w:styleId="665">
    <w:name w:val="Caption"/>
    <w:basedOn w:val="6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66">
    <w:name w:val="Указатель"/>
    <w:basedOn w:val="621"/>
    <w:qFormat/>
    <w:pPr>
      <w:suppressLineNumbers/>
    </w:pPr>
    <w:rPr>
      <w:rFonts w:cs="Arial Unicode MS"/>
    </w:rPr>
  </w:style>
  <w:style w:type="paragraph" w:styleId="667">
    <w:name w:val="List Paragraph"/>
    <w:basedOn w:val="621"/>
    <w:uiPriority w:val="34"/>
    <w:qFormat/>
    <w:pPr>
      <w:contextualSpacing/>
      <w:ind w:left="720" w:firstLine="0"/>
      <w:spacing w:before="0" w:after="160"/>
    </w:pPr>
  </w:style>
  <w:style w:type="paragraph" w:styleId="668">
    <w:name w:val="Title"/>
    <w:basedOn w:val="621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69">
    <w:name w:val="Subtitle"/>
    <w:basedOn w:val="621"/>
    <w:uiPriority w:val="11"/>
    <w:qFormat/>
    <w:pPr>
      <w:spacing w:before="200" w:after="200"/>
    </w:pPr>
    <w:rPr>
      <w:sz w:val="24"/>
      <w:szCs w:val="24"/>
    </w:rPr>
  </w:style>
  <w:style w:type="paragraph" w:styleId="670">
    <w:name w:val="Quote"/>
    <w:basedOn w:val="621"/>
    <w:uiPriority w:val="29"/>
    <w:qFormat/>
    <w:pPr>
      <w:ind w:left="720" w:right="720" w:firstLine="0"/>
    </w:pPr>
    <w:rPr>
      <w:i/>
    </w:rPr>
  </w:style>
  <w:style w:type="paragraph" w:styleId="671">
    <w:name w:val="Intense Quote"/>
    <w:basedOn w:val="621"/>
    <w:uiPriority w:val="30"/>
    <w:qFormat/>
    <w:pPr>
      <w:ind w:left="720" w:right="720" w:firstLine="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72">
    <w:name w:val="Колонтитул"/>
    <w:basedOn w:val="621"/>
    <w:qFormat/>
  </w:style>
  <w:style w:type="paragraph" w:styleId="673">
    <w:name w:val="Header"/>
    <w:basedOn w:val="621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74">
    <w:name w:val="Footer"/>
    <w:basedOn w:val="621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75">
    <w:name w:val="footnote text"/>
    <w:basedOn w:val="621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76">
    <w:name w:val="endnote text"/>
    <w:basedOn w:val="621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77">
    <w:name w:val="toc 1"/>
    <w:basedOn w:val="621"/>
    <w:uiPriority w:val="39"/>
    <w:unhideWhenUsed/>
    <w:pPr>
      <w:ind w:left="0" w:right="0" w:firstLine="0"/>
      <w:spacing w:before="0" w:after="57"/>
    </w:pPr>
  </w:style>
  <w:style w:type="paragraph" w:styleId="678">
    <w:name w:val="toc 2"/>
    <w:basedOn w:val="621"/>
    <w:uiPriority w:val="39"/>
    <w:unhideWhenUsed/>
    <w:pPr>
      <w:ind w:left="283" w:right="0" w:firstLine="0"/>
      <w:spacing w:before="0" w:after="57"/>
    </w:pPr>
  </w:style>
  <w:style w:type="paragraph" w:styleId="679">
    <w:name w:val="toc 3"/>
    <w:basedOn w:val="621"/>
    <w:uiPriority w:val="39"/>
    <w:unhideWhenUsed/>
    <w:pPr>
      <w:ind w:left="567" w:right="0" w:firstLine="0"/>
      <w:spacing w:before="0" w:after="57"/>
    </w:pPr>
  </w:style>
  <w:style w:type="paragraph" w:styleId="680">
    <w:name w:val="toc 4"/>
    <w:basedOn w:val="621"/>
    <w:uiPriority w:val="39"/>
    <w:unhideWhenUsed/>
    <w:pPr>
      <w:ind w:left="850" w:right="0" w:firstLine="0"/>
      <w:spacing w:before="0" w:after="57"/>
    </w:pPr>
  </w:style>
  <w:style w:type="paragraph" w:styleId="681">
    <w:name w:val="toc 5"/>
    <w:basedOn w:val="621"/>
    <w:uiPriority w:val="39"/>
    <w:unhideWhenUsed/>
    <w:pPr>
      <w:ind w:left="1134" w:right="0" w:firstLine="0"/>
      <w:spacing w:before="0" w:after="57"/>
    </w:pPr>
  </w:style>
  <w:style w:type="paragraph" w:styleId="682">
    <w:name w:val="toc 6"/>
    <w:basedOn w:val="621"/>
    <w:uiPriority w:val="39"/>
    <w:unhideWhenUsed/>
    <w:pPr>
      <w:ind w:left="1417" w:right="0" w:firstLine="0"/>
      <w:spacing w:before="0" w:after="57"/>
    </w:pPr>
  </w:style>
  <w:style w:type="paragraph" w:styleId="683">
    <w:name w:val="toc 7"/>
    <w:basedOn w:val="621"/>
    <w:uiPriority w:val="39"/>
    <w:unhideWhenUsed/>
    <w:pPr>
      <w:ind w:left="1701" w:right="0" w:firstLine="0"/>
      <w:spacing w:before="0" w:after="57"/>
    </w:pPr>
  </w:style>
  <w:style w:type="paragraph" w:styleId="684">
    <w:name w:val="toc 8"/>
    <w:basedOn w:val="621"/>
    <w:uiPriority w:val="39"/>
    <w:unhideWhenUsed/>
    <w:pPr>
      <w:ind w:left="1984" w:right="0" w:firstLine="0"/>
      <w:spacing w:before="0" w:after="57"/>
    </w:pPr>
  </w:style>
  <w:style w:type="paragraph" w:styleId="685">
    <w:name w:val="toc 9"/>
    <w:basedOn w:val="621"/>
    <w:uiPriority w:val="39"/>
    <w:unhideWhenUsed/>
    <w:pPr>
      <w:ind w:left="2268" w:right="0" w:firstLine="0"/>
      <w:spacing w:before="0" w:after="57"/>
    </w:pPr>
  </w:style>
  <w:style w:type="paragraph" w:styleId="686">
    <w:name w:val="Index Heading"/>
    <w:basedOn w:val="662"/>
  </w:style>
  <w:style w:type="paragraph" w:styleId="687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88">
    <w:name w:val="table of figures"/>
    <w:basedOn w:val="621"/>
    <w:uiPriority w:val="99"/>
    <w:unhideWhenUsed/>
    <w:qFormat/>
    <w:pPr>
      <w:spacing w:before="0" w:after="0" w:afterAutospacing="0"/>
    </w:pPr>
  </w:style>
  <w:style w:type="paragraph" w:styleId="689" w:customStyle="1">
    <w:name w:val="Основной текст (14)"/>
    <w:basedOn w:val="621"/>
    <w:qFormat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paragraph" w:styleId="690" w:customStyle="1">
    <w:name w:val="Подпись к таблице (2)"/>
    <w:basedOn w:val="621"/>
    <w:qFormat/>
    <w:pPr>
      <w:spacing w:before="0"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691" w:customStyle="1">
    <w:name w:val="Основной текст (2)"/>
    <w:basedOn w:val="621"/>
    <w:qFormat/>
    <w:pPr>
      <w:ind w:hanging="1740"/>
      <w:jc w:val="both"/>
      <w:spacing w:before="0"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692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93">
    <w:name w:val="Balloon Text"/>
    <w:basedOn w:val="621"/>
    <w:uiPriority w:val="99"/>
    <w:semiHidden/>
    <w:unhideWhenUsed/>
    <w:qFormat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numbering" w:styleId="694" w:default="1">
    <w:name w:val="No List"/>
    <w:uiPriority w:val="99"/>
    <w:semiHidden/>
    <w:unhideWhenUsed/>
    <w:qFormat/>
  </w:style>
  <w:style w:type="table" w:styleId="121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dc:description/>
  <dc:language>ru-RU</dc:language>
  <cp:lastModifiedBy>lutfullina_ee</cp:lastModifiedBy>
  <cp:revision>80</cp:revision>
  <dcterms:modified xsi:type="dcterms:W3CDTF">2026-05-28T06:57:01Z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